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5438C4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5704BCBA" w14:textId="1ABE0F5F" w:rsidR="00D03506" w:rsidRPr="00E51E39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E51E39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14C3B48" w14:textId="757D799D" w:rsidR="00E87318" w:rsidRPr="00E51E39" w:rsidRDefault="00D41E20" w:rsidP="7F811AE2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sz w:val="22"/>
        </w:rPr>
      </w:pPr>
      <w:r w:rsidRPr="00E51E39">
        <w:rPr>
          <w:rStyle w:val="Heading2Char"/>
          <w:rFonts w:ascii="Roboto" w:hAnsi="Roboto"/>
          <w:b w:val="0"/>
          <w:sz w:val="40"/>
          <w:szCs w:val="40"/>
        </w:rPr>
        <w:t>Post title:</w:t>
      </w:r>
      <w:r w:rsidRPr="00E51E39">
        <w:rPr>
          <w:rFonts w:ascii="Arial" w:hAnsi="Arial" w:cs="Arial"/>
          <w:b/>
          <w:bCs/>
          <w:sz w:val="40"/>
          <w:szCs w:val="40"/>
        </w:rPr>
        <w:t xml:space="preserve"> </w:t>
      </w:r>
      <w:r w:rsidR="4C75C866" w:rsidRPr="00E51E39">
        <w:rPr>
          <w:rFonts w:ascii="Arial" w:hAnsi="Arial" w:cs="Arial"/>
          <w:b/>
          <w:bCs/>
          <w:sz w:val="40"/>
          <w:szCs w:val="40"/>
        </w:rPr>
        <w:t xml:space="preserve">Teaching Fellow </w:t>
      </w:r>
      <w:r w:rsidR="00E87318" w:rsidRPr="00E51E39">
        <w:rPr>
          <w:rFonts w:ascii="Roboto" w:hAnsi="Roboto"/>
          <w:color w:val="002E3B" w:themeColor="accent1"/>
          <w:sz w:val="22"/>
        </w:rPr>
        <w:t>Date last updated/evaluated:</w:t>
      </w:r>
      <w:r w:rsidR="00E87318" w:rsidRPr="00E51E39">
        <w:rPr>
          <w:rFonts w:ascii="Arial" w:hAnsi="Arial" w:cs="Arial"/>
          <w:sz w:val="22"/>
        </w:rPr>
        <w:t xml:space="preserve"> </w:t>
      </w:r>
      <w:r w:rsidR="004D46AB" w:rsidRPr="00E51E39">
        <w:rPr>
          <w:rFonts w:ascii="Arial" w:hAnsi="Arial" w:cs="Arial"/>
          <w:sz w:val="22"/>
        </w:rPr>
        <w:t>January 2025</w:t>
      </w:r>
    </w:p>
    <w:p w14:paraId="12589744" w14:textId="0051A34E" w:rsidR="00D41E20" w:rsidRPr="00E51E39" w:rsidRDefault="006D162A" w:rsidP="7F811AE2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E51E39">
        <w:rPr>
          <w:rFonts w:ascii="Roboto" w:hAnsi="Roboto" w:cs="Arial"/>
          <w:color w:val="002E3B" w:themeColor="accent1"/>
          <w:sz w:val="22"/>
        </w:rPr>
        <w:t>Author:</w:t>
      </w:r>
      <w:r w:rsidRPr="00E51E39">
        <w:rPr>
          <w:rFonts w:ascii="Arial" w:hAnsi="Arial" w:cs="Arial"/>
          <w:sz w:val="22"/>
        </w:rPr>
        <w:t xml:space="preserve"> </w:t>
      </w:r>
      <w:r w:rsidR="1B260D80" w:rsidRPr="00E51E39">
        <w:rPr>
          <w:rFonts w:ascii="Arial" w:hAnsi="Arial" w:cs="Arial"/>
          <w:sz w:val="22"/>
        </w:rPr>
        <w:t>Pritti Aggarwal</w:t>
      </w:r>
      <w:r w:rsidR="00D720B9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6F8318B5" w:rsidR="00886EF0" w:rsidRPr="00E51E39" w:rsidRDefault="00886EF0" w:rsidP="002B5854">
      <w:pPr>
        <w:rPr>
          <w:rFonts w:ascii="Roboto" w:hAnsi="Roboto"/>
          <w:b/>
          <w:bCs/>
          <w:sz w:val="22"/>
        </w:rPr>
      </w:pPr>
      <w:r w:rsidRPr="00E51E39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D91480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2311</w:t>
      </w:r>
    </w:p>
    <w:p w14:paraId="0C125905" w14:textId="134D5BA3" w:rsidR="00886EF0" w:rsidRPr="00E51E39" w:rsidRDefault="00886EF0" w:rsidP="7F811AE2">
      <w:pPr>
        <w:rPr>
          <w:rStyle w:val="Heading2Char"/>
          <w:rFonts w:ascii="Arial" w:hAnsi="Arial" w:cs="Arial"/>
          <w:b w:val="0"/>
          <w:color w:val="auto"/>
          <w:sz w:val="22"/>
          <w:szCs w:val="22"/>
        </w:rPr>
      </w:pPr>
      <w:r w:rsidRPr="00E51E39">
        <w:rPr>
          <w:rStyle w:val="Heading2Char"/>
          <w:rFonts w:ascii="Roboto" w:hAnsi="Roboto"/>
          <w:b w:val="0"/>
          <w:sz w:val="22"/>
          <w:szCs w:val="22"/>
        </w:rPr>
        <w:t>School / Department:</w:t>
      </w:r>
      <w:r w:rsidRPr="00E51E39">
        <w:tab/>
      </w:r>
      <w:r w:rsidRPr="00E51E39">
        <w:tab/>
      </w:r>
      <w:r w:rsidRPr="00E51E39">
        <w:tab/>
      </w:r>
      <w:r w:rsidR="0CCCC31B" w:rsidRPr="00E51E39">
        <w:rPr>
          <w:rStyle w:val="Heading2Char"/>
          <w:rFonts w:ascii="Roboto" w:hAnsi="Roboto"/>
          <w:b w:val="0"/>
          <w:sz w:val="22"/>
          <w:szCs w:val="22"/>
        </w:rPr>
        <w:t xml:space="preserve">Population and Public Health </w:t>
      </w:r>
    </w:p>
    <w:p w14:paraId="0F7483D1" w14:textId="5CA684DC" w:rsidR="00886EF0" w:rsidRPr="00E51E39" w:rsidRDefault="00886EF0" w:rsidP="7F811AE2">
      <w:pPr>
        <w:rPr>
          <w:rStyle w:val="Heading2Char"/>
          <w:rFonts w:ascii="Arial" w:hAnsi="Arial" w:cs="Arial"/>
          <w:b w:val="0"/>
          <w:color w:val="auto"/>
          <w:sz w:val="22"/>
          <w:szCs w:val="22"/>
        </w:rPr>
      </w:pPr>
      <w:r w:rsidRPr="00E51E39">
        <w:rPr>
          <w:rStyle w:val="Heading2Char"/>
          <w:rFonts w:ascii="Roboto" w:hAnsi="Roboto"/>
          <w:b w:val="0"/>
          <w:sz w:val="22"/>
          <w:szCs w:val="22"/>
        </w:rPr>
        <w:t>Faculty / Directorate:</w:t>
      </w:r>
      <w:r w:rsidRPr="00E51E39">
        <w:tab/>
      </w:r>
      <w:r w:rsidRPr="00E51E39">
        <w:tab/>
      </w:r>
      <w:r w:rsidRPr="00E51E39">
        <w:tab/>
      </w:r>
      <w:r w:rsidR="00D91480" w:rsidRPr="00E51E39">
        <w:rPr>
          <w:rStyle w:val="Heading2Char"/>
          <w:rFonts w:ascii="Roboto" w:hAnsi="Roboto"/>
          <w:b w:val="0"/>
          <w:sz w:val="22"/>
          <w:szCs w:val="22"/>
        </w:rPr>
        <w:t>Medicine</w:t>
      </w:r>
      <w:r w:rsidR="2BEB4726" w:rsidRPr="00E51E39">
        <w:rPr>
          <w:rStyle w:val="Heading2Char"/>
          <w:rFonts w:ascii="Roboto" w:hAnsi="Roboto"/>
          <w:b w:val="0"/>
          <w:sz w:val="22"/>
          <w:szCs w:val="22"/>
        </w:rPr>
        <w:t xml:space="preserve"> </w:t>
      </w:r>
    </w:p>
    <w:p w14:paraId="6667AB9D" w14:textId="785F8E06" w:rsidR="00886EF0" w:rsidRPr="00E51E39" w:rsidRDefault="00886EF0" w:rsidP="002B5854">
      <w:pPr>
        <w:rPr>
          <w:rFonts w:ascii="Arial" w:hAnsi="Arial" w:cs="Arial"/>
          <w:b/>
          <w:bCs/>
          <w:sz w:val="22"/>
        </w:rPr>
      </w:pPr>
      <w:r w:rsidRPr="00E51E39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3056ED" w:rsidRPr="00E51E39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E51E39" w:rsidRDefault="00886EF0" w:rsidP="002B5854">
      <w:pPr>
        <w:rPr>
          <w:rFonts w:ascii="Roboto" w:hAnsi="Roboto"/>
          <w:b/>
          <w:bCs/>
          <w:sz w:val="22"/>
        </w:rPr>
      </w:pPr>
      <w:r w:rsidRPr="00E51E39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3056ED" w:rsidRPr="00E51E39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5F78DCF8" w:rsidR="00886EF0" w:rsidRPr="00E51E39" w:rsidRDefault="00886EF0" w:rsidP="002B5854">
      <w:pPr>
        <w:rPr>
          <w:rFonts w:ascii="Roboto" w:hAnsi="Roboto"/>
          <w:b/>
          <w:bCs/>
          <w:sz w:val="22"/>
        </w:rPr>
      </w:pPr>
      <w:r w:rsidRPr="00E51E39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E51E39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E51E39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D720B9">
            <w:rPr>
              <w:rFonts w:ascii="Arial" w:hAnsi="Arial" w:cs="Arial"/>
              <w:sz w:val="22"/>
            </w:rPr>
            <w:t>Education</w:t>
          </w:r>
        </w:sdtContent>
      </w:sdt>
    </w:p>
    <w:p w14:paraId="1EF7A160" w14:textId="39BFAEC7" w:rsidR="00886EF0" w:rsidRPr="00E51E39" w:rsidRDefault="00886EF0" w:rsidP="7F811AE2">
      <w:pPr>
        <w:rPr>
          <w:rStyle w:val="Heading2Char"/>
          <w:rFonts w:ascii="Arial" w:hAnsi="Arial" w:cs="Arial"/>
          <w:b w:val="0"/>
          <w:color w:val="auto"/>
          <w:sz w:val="22"/>
          <w:szCs w:val="22"/>
        </w:rPr>
      </w:pPr>
      <w:r w:rsidRPr="00E51E39">
        <w:rPr>
          <w:rStyle w:val="Heading2Char"/>
          <w:rFonts w:ascii="Roboto" w:hAnsi="Roboto"/>
          <w:b w:val="0"/>
          <w:sz w:val="22"/>
          <w:szCs w:val="22"/>
        </w:rPr>
        <w:t>Post reporting to:</w:t>
      </w:r>
      <w:r w:rsidRPr="00E51E39">
        <w:tab/>
      </w:r>
      <w:r w:rsidRPr="00E51E39">
        <w:tab/>
      </w:r>
      <w:r w:rsidRPr="00E51E39">
        <w:tab/>
      </w:r>
      <w:r w:rsidR="5597CAD5" w:rsidRPr="00E51E39">
        <w:rPr>
          <w:rStyle w:val="Heading2Char"/>
          <w:rFonts w:ascii="Roboto" w:hAnsi="Roboto"/>
          <w:b w:val="0"/>
          <w:sz w:val="22"/>
          <w:szCs w:val="22"/>
        </w:rPr>
        <w:t>Director of Primary care placements for medical students</w:t>
      </w:r>
    </w:p>
    <w:p w14:paraId="1DD585A1" w14:textId="71F08EEC" w:rsidR="00886EF0" w:rsidRPr="00E51E39" w:rsidRDefault="00886EF0" w:rsidP="7F811AE2">
      <w:pPr>
        <w:rPr>
          <w:rStyle w:val="Heading2Char"/>
          <w:rFonts w:ascii="Arial" w:hAnsi="Arial" w:cs="Arial"/>
          <w:b w:val="0"/>
          <w:color w:val="auto"/>
          <w:sz w:val="22"/>
          <w:szCs w:val="22"/>
        </w:rPr>
      </w:pPr>
      <w:r w:rsidRPr="00E51E39">
        <w:rPr>
          <w:rStyle w:val="Heading2Char"/>
          <w:rFonts w:ascii="Roboto" w:hAnsi="Roboto"/>
          <w:b w:val="0"/>
          <w:sz w:val="22"/>
          <w:szCs w:val="22"/>
        </w:rPr>
        <w:t>Post line report(s):</w:t>
      </w:r>
      <w:r w:rsidRPr="00E51E39">
        <w:tab/>
      </w:r>
      <w:r w:rsidRPr="00E51E39">
        <w:tab/>
      </w:r>
      <w:r w:rsidRPr="00E51E39">
        <w:tab/>
      </w:r>
      <w:r w:rsidR="38228E6E" w:rsidRPr="00E51E39">
        <w:rPr>
          <w:rStyle w:val="Heading2Char"/>
          <w:rFonts w:ascii="Roboto" w:hAnsi="Roboto"/>
          <w:b w:val="0"/>
          <w:sz w:val="22"/>
          <w:szCs w:val="22"/>
        </w:rPr>
        <w:t>Zoe Shepherd</w:t>
      </w:r>
    </w:p>
    <w:p w14:paraId="4FB321EB" w14:textId="55713AB9" w:rsidR="00886EF0" w:rsidRPr="00722340" w:rsidRDefault="00886EF0" w:rsidP="00D7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7F811AE2">
        <w:rPr>
          <w:rStyle w:val="Heading2Char"/>
          <w:rFonts w:ascii="Roboto" w:hAnsi="Roboto"/>
          <w:b w:val="0"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328490683"/>
          <w:placeholder>
            <w:docPart w:val="301C8A6CB2974CB081080CCAED342BF0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D720B9">
            <w:rPr>
              <w:rFonts w:ascii="Roboto" w:hAnsi="Roboto"/>
              <w:sz w:val="22"/>
            </w:rPr>
            <w:t>Campus</w:t>
          </w:r>
        </w:sdtContent>
      </w:sdt>
      <w:r w:rsidR="00D720B9"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7BF9F600" w:rsidR="00D56E08" w:rsidRPr="00D56E08" w:rsidRDefault="00A2516E" w:rsidP="00D56E0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experience and competence in scholarly educational practice, with appropriate guidance, support and supervision. Work is typically focused on delivery of teaching and learning activities.</w:t>
      </w:r>
    </w:p>
    <w:p w14:paraId="7B3CEA09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60101A80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D720B9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080A04B" w:rsidR="00886EF0" w:rsidRPr="00AC6BEA" w:rsidRDefault="03FD21CC" w:rsidP="7F811AE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rPr>
          <w:rFonts w:ascii="Roboto" w:hAnsi="Roboto"/>
          <w:b/>
          <w:bCs/>
          <w:color w:val="002E3B" w:themeColor="accent1"/>
          <w:sz w:val="22"/>
        </w:rPr>
      </w:pPr>
      <w:r w:rsidRPr="00AC6BEA"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AC6BEA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6A418A" w14:textId="77777777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1C10AFB9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Prepare and deliver effective, scholarly education activities within established modules and programmes of study.</w:t>
      </w:r>
    </w:p>
    <w:p w14:paraId="66135842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Select and apply appropriate teaching methods, drawing on applicable guidance and training, to achieve defined learning outcomes.</w:t>
      </w:r>
    </w:p>
    <w:p w14:paraId="6BD2347C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Challenge thinking, foster debate, promote active learning and develop the ability of students to engage in critical discourse and rational thinking.</w:t>
      </w:r>
    </w:p>
    <w:p w14:paraId="4A449C30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Demonstrate inclusive and flexible teaching practices. Identify and address individual learning needs.</w:t>
      </w:r>
    </w:p>
    <w:p w14:paraId="44234673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Provide advice and support to students in a timely and effective manner, including as a Personal Academic Tutor.</w:t>
      </w:r>
    </w:p>
    <w:p w14:paraId="32000585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Mark assessments and provide constructive feedback to students.</w:t>
      </w:r>
    </w:p>
    <w:p w14:paraId="4FFF57A4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Continually update knowledge of taught specialisms to ensure educational practice is informed by advances in knowledge, insight and understanding in the underlying subject area.</w:t>
      </w:r>
    </w:p>
    <w:p w14:paraId="40ED4A4E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Continually update knowledge of best practice to ensure educational activities are scholarly.</w:t>
      </w:r>
    </w:p>
    <w:p w14:paraId="74293185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Refine own teaching practice by reflecting on teaching design and delivery, obtaining and analysing feedback, participating in peer review and engaging in appropriate continuing professional development.</w:t>
      </w:r>
    </w:p>
    <w:p w14:paraId="06BEA5C1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design of curricula that are academically excellent, coherent and intellectually challenging.</w:t>
      </w:r>
    </w:p>
    <w:p w14:paraId="6ACC6B24" w14:textId="4FE0A58F" w:rsidR="00886EF0" w:rsidRPr="006D162A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>Collaborate and network productively with colleagues in own and other departments, disciplines and/or organisations</w:t>
      </w:r>
      <w:r w:rsidR="00DA0322" w:rsidRPr="7F811AE2">
        <w:rPr>
          <w:rFonts w:ascii="Arial" w:hAnsi="Arial" w:cs="Arial"/>
          <w:sz w:val="22"/>
        </w:rPr>
        <w:t>.</w:t>
      </w:r>
    </w:p>
    <w:p w14:paraId="22655E3B" w14:textId="572EE158" w:rsidR="00886EF0" w:rsidRPr="00722340" w:rsidRDefault="624E461A" w:rsidP="7F811AE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rPr>
          <w:rFonts w:ascii="Roboto" w:hAnsi="Roboto"/>
          <w:b/>
          <w:bCs/>
          <w:color w:val="002E3B" w:themeColor="accent1"/>
          <w:sz w:val="22"/>
        </w:rPr>
      </w:pPr>
      <w:r w:rsidRPr="7F811AE2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7F811AE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7F811AE2">
        <w:rPr>
          <w:rFonts w:ascii="Arial" w:hAnsi="Arial" w:cs="Arial"/>
          <w:sz w:val="22"/>
        </w:rPr>
        <w:t>.</w:t>
      </w:r>
    </w:p>
    <w:p w14:paraId="72ECD5FC" w14:textId="618AEEA2" w:rsidR="00886EF0" w:rsidRPr="00722340" w:rsidRDefault="3D32CE3D" w:rsidP="7F811AE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rPr>
          <w:rFonts w:ascii="Roboto" w:hAnsi="Roboto"/>
          <w:b/>
          <w:bCs/>
          <w:sz w:val="22"/>
        </w:rPr>
      </w:pPr>
      <w:r w:rsidRPr="7F811AE2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7F811AE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07B53D69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0DE69F4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lastRenderedPageBreak/>
        <w:t>Support and help ensure the health and wellbeing of colleagues.</w:t>
      </w:r>
    </w:p>
    <w:p w14:paraId="6AEF268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>Mentor colleagues and support their development.</w:t>
      </w:r>
    </w:p>
    <w:p w14:paraId="6DB9E21F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056440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1B627575" w14:textId="408BC424" w:rsid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58F26DA7" w14:textId="0B60E3F4" w:rsidR="00886EF0" w:rsidRPr="006D162A" w:rsidRDefault="00A574E8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7F811AE2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6103659D" w14:textId="41844544" w:rsidR="00886EF0" w:rsidRPr="00722340" w:rsidRDefault="00D720B9" w:rsidP="120728E9">
      <w:pPr>
        <w:rPr>
          <w:rFonts w:ascii="Arial" w:eastAsia="Arial" w:hAnsi="Arial" w:cs="Arial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  <w:r w:rsidR="1DA9CF59" w:rsidRPr="120728E9">
        <w:rPr>
          <w:rFonts w:ascii="Arial" w:eastAsia="Arial" w:hAnsi="Arial" w:cs="Arial"/>
          <w:color w:val="000000" w:themeColor="text1"/>
          <w:sz w:val="22"/>
        </w:rPr>
        <w:t>Work with the primary care teachers to review and develop future student GP experience throughout all 5 years of the course.</w:t>
      </w:r>
    </w:p>
    <w:p w14:paraId="23BCB6DF" w14:textId="720E6577" w:rsidR="00A2516E" w:rsidRPr="00722340" w:rsidRDefault="00D720B9" w:rsidP="7F811AE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09E730F5" w14:textId="0846EB47" w:rsidR="00A2516E" w:rsidRPr="00722340" w:rsidRDefault="00D720B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4738F732" w:rsidR="00BA0543" w:rsidRDefault="00BA0543" w:rsidP="7F811AE2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 xml:space="preserve">Substantial and authoritative practical knowledge and experience in </w:t>
      </w:r>
      <w:r w:rsidR="3C1D916D" w:rsidRPr="7F811AE2">
        <w:rPr>
          <w:rFonts w:ascii="Arial" w:hAnsi="Arial" w:cs="Arial"/>
          <w:sz w:val="22"/>
        </w:rPr>
        <w:t>primary care</w:t>
      </w:r>
      <w:r w:rsidRPr="7F811AE2">
        <w:rPr>
          <w:rFonts w:ascii="Arial" w:hAnsi="Arial" w:cs="Arial"/>
          <w:sz w:val="22"/>
        </w:rPr>
        <w:t xml:space="preserve">, supported by </w:t>
      </w:r>
      <w:r w:rsidR="00CB1D5C" w:rsidRPr="7F811AE2">
        <w:rPr>
          <w:rFonts w:ascii="Arial" w:hAnsi="Arial" w:cs="Arial"/>
          <w:sz w:val="22"/>
        </w:rPr>
        <w:t>detailed</w:t>
      </w:r>
      <w:r w:rsidRPr="7F811AE2">
        <w:rPr>
          <w:rFonts w:ascii="Arial" w:hAnsi="Arial" w:cs="Arial"/>
          <w:sz w:val="22"/>
        </w:rPr>
        <w:t xml:space="preserve"> understanding.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73FB472C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BA0543">
        <w:rPr>
          <w:rFonts w:ascii="Arial" w:hAnsi="Arial" w:cs="Arial"/>
          <w:sz w:val="22"/>
        </w:rPr>
        <w:t>5 or 6</w:t>
      </w:r>
      <w:r w:rsidRPr="005B29A7">
        <w:rPr>
          <w:rFonts w:ascii="Arial" w:hAnsi="Arial" w:cs="Arial"/>
          <w:sz w:val="22"/>
        </w:rPr>
        <w:t xml:space="preserve">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 xml:space="preserve">e.g. </w:t>
      </w:r>
      <w:r w:rsidR="00BA0543">
        <w:rPr>
          <w:rFonts w:ascii="Arial" w:hAnsi="Arial" w:cs="Arial"/>
          <w:sz w:val="22"/>
        </w:rPr>
        <w:t>foundation degree or degree with honours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BA0543">
        <w:rPr>
          <w:rFonts w:ascii="Arial" w:hAnsi="Arial" w:cs="Arial"/>
          <w:sz w:val="22"/>
        </w:rPr>
        <w:t>5 or 6</w:t>
      </w:r>
      <w:r w:rsidR="00812F3B" w:rsidRPr="00812F3B">
        <w:rPr>
          <w:rFonts w:ascii="Arial" w:hAnsi="Arial" w:cs="Arial"/>
          <w:sz w:val="22"/>
        </w:rPr>
        <w:t xml:space="preserve"> 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4CE2B931" w:rsidR="00CB1D5C" w:rsidRPr="006D162A" w:rsidRDefault="00CB1D5C" w:rsidP="7F811AE2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7F811AE2">
        <w:rPr>
          <w:rFonts w:ascii="Arial" w:hAnsi="Arial" w:cs="Arial"/>
          <w:sz w:val="22"/>
        </w:rPr>
        <w:t xml:space="preserve">PhD </w:t>
      </w:r>
    </w:p>
    <w:p w14:paraId="1AEC6741" w14:textId="638A54B1" w:rsidR="0004217C" w:rsidRPr="00C9549D" w:rsidRDefault="00D720B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7F811AE2">
        <w:rPr>
          <w:rFonts w:ascii="Roboto" w:hAnsi="Roboto"/>
          <w:sz w:val="22"/>
        </w:rPr>
        <w:t>Provides clear advice, guidance and recommendations on novel or complex concepts and issues</w:t>
      </w:r>
      <w:r w:rsidR="005B29A7" w:rsidRPr="7F811AE2">
        <w:rPr>
          <w:rFonts w:ascii="Roboto" w:hAnsi="Roboto"/>
          <w:sz w:val="22"/>
        </w:rPr>
        <w:t>.</w:t>
      </w:r>
    </w:p>
    <w:p w14:paraId="2FC32A09" w14:textId="4D5C07BA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53720CFE" w14:textId="2C9992A1" w:rsidR="0004217C" w:rsidRPr="00C9549D" w:rsidRDefault="00D720B9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7F811AE2">
        <w:rPr>
          <w:rFonts w:ascii="Roboto" w:hAnsi="Roboto"/>
          <w:sz w:val="22"/>
        </w:rPr>
        <w:t>Formulates development plans to meet current skill requirements</w:t>
      </w:r>
      <w:r w:rsidR="00883B4C" w:rsidRPr="7F811AE2">
        <w:rPr>
          <w:rFonts w:ascii="Roboto" w:hAnsi="Roboto"/>
          <w:sz w:val="22"/>
        </w:rPr>
        <w:t>.</w:t>
      </w:r>
    </w:p>
    <w:p w14:paraId="4EB78921" w14:textId="6B0F1122" w:rsidR="0004217C" w:rsidRPr="00C9549D" w:rsidRDefault="00D720B9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7F811AE2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 w:rsidRPr="7F811AE2">
        <w:rPr>
          <w:rFonts w:ascii="Roboto" w:hAnsi="Roboto"/>
          <w:sz w:val="22"/>
        </w:rPr>
        <w:t>.</w:t>
      </w:r>
    </w:p>
    <w:p w14:paraId="156E90A5" w14:textId="78A4C157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39189345" w14:textId="11DC138A" w:rsidR="00DA0322" w:rsidRDefault="00D720B9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D3F9465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7B8D397C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710911FA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544C6563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1A900DBD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7B7026C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03A09AEA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63A4617C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18588118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0F37E77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14F64CA9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1AF3071C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43E2D834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7243303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2838E1BF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D720B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0D647FFC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73B16794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553BF399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45FBEA6B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42F86934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52A9E6F3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D720B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3F9B3408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5729229C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4E364E7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5328F6F3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D720B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6245C2FF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2F55D83A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78B7B43B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17E0C3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1AEF0EEE" w:rsidR="003979F4" w:rsidRPr="00E51E39" w:rsidRDefault="003979F4" w:rsidP="003979F4">
      <w:pPr>
        <w:rPr>
          <w:rFonts w:ascii="Roboto" w:hAnsi="Roboto"/>
          <w:sz w:val="22"/>
        </w:rPr>
      </w:pPr>
      <w:r w:rsidRPr="00E51E39">
        <w:rPr>
          <w:rFonts w:ascii="Roboto" w:hAnsi="Roboto"/>
          <w:sz w:val="22"/>
        </w:rPr>
        <w:t xml:space="preserve">Repetitive climbing (steps, stools, ladders, stairs) </w:t>
      </w:r>
      <w:r w:rsidRPr="00E51E3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 w:rsidRPr="00E51E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3DBB39D1" w:rsidR="009608CA" w:rsidRPr="00E51E39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E51E39">
        <w:rPr>
          <w:rFonts w:ascii="Roboto" w:hAnsi="Roboto"/>
          <w:sz w:val="22"/>
        </w:rPr>
        <w:t>Repetitive crouching, kneeling or stooping</w:t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="00C836E2"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 w:rsidRPr="00E51E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422ADFAD" w:rsidR="009608CA" w:rsidRPr="00E51E39" w:rsidRDefault="009608CA" w:rsidP="003979F4">
      <w:pPr>
        <w:rPr>
          <w:rFonts w:ascii="Roboto" w:hAnsi="Roboto"/>
          <w:sz w:val="22"/>
        </w:rPr>
      </w:pPr>
      <w:r w:rsidRPr="00E51E39">
        <w:rPr>
          <w:rFonts w:ascii="Roboto" w:hAnsi="Roboto"/>
          <w:sz w:val="22"/>
        </w:rPr>
        <w:t>Repetitive lifting</w:t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="00C836E2"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 w:rsidRPr="00E51E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33356A66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E51E39">
        <w:rPr>
          <w:rFonts w:ascii="Roboto" w:hAnsi="Roboto"/>
          <w:sz w:val="22"/>
        </w:rPr>
        <w:t>Fine motor grips (e.g. pipetting)</w:t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r w:rsidR="00C836E2" w:rsidRPr="00E51E39">
        <w:rPr>
          <w:rFonts w:ascii="Roboto" w:hAnsi="Roboto"/>
          <w:sz w:val="22"/>
        </w:rPr>
        <w:tab/>
      </w:r>
      <w:r w:rsidRPr="00E51E3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 w:rsidRPr="00E51E3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557DECB0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5855D404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58128E2B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056E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D720B9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D720B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F68B" w14:textId="77777777" w:rsidR="00281F65" w:rsidRDefault="00281F65" w:rsidP="00850136">
      <w:r>
        <w:separator/>
      </w:r>
    </w:p>
  </w:endnote>
  <w:endnote w:type="continuationSeparator" w:id="0">
    <w:p w14:paraId="2407004E" w14:textId="77777777" w:rsidR="00281F65" w:rsidRDefault="00281F65" w:rsidP="00850136">
      <w:r>
        <w:continuationSeparator/>
      </w:r>
    </w:p>
  </w:endnote>
  <w:endnote w:type="continuationNotice" w:id="1">
    <w:p w14:paraId="0AA86127" w14:textId="77777777" w:rsidR="00281F65" w:rsidRDefault="00281F6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4D09" w14:textId="77777777" w:rsidR="00281F65" w:rsidRDefault="00281F65" w:rsidP="00850136">
      <w:r>
        <w:separator/>
      </w:r>
    </w:p>
  </w:footnote>
  <w:footnote w:type="continuationSeparator" w:id="0">
    <w:p w14:paraId="69C4E5CF" w14:textId="77777777" w:rsidR="00281F65" w:rsidRDefault="00281F65" w:rsidP="00850136">
      <w:r>
        <w:continuationSeparator/>
      </w:r>
    </w:p>
  </w:footnote>
  <w:footnote w:type="continuationNotice" w:id="1">
    <w:p w14:paraId="41597A73" w14:textId="77777777" w:rsidR="00281F65" w:rsidRDefault="00281F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16525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56C52"/>
    <w:rsid w:val="0017175C"/>
    <w:rsid w:val="001A2647"/>
    <w:rsid w:val="001B067E"/>
    <w:rsid w:val="001B565F"/>
    <w:rsid w:val="00207344"/>
    <w:rsid w:val="00232309"/>
    <w:rsid w:val="00244212"/>
    <w:rsid w:val="00253414"/>
    <w:rsid w:val="00256C9F"/>
    <w:rsid w:val="002666B4"/>
    <w:rsid w:val="00270F82"/>
    <w:rsid w:val="00271BCD"/>
    <w:rsid w:val="00281F65"/>
    <w:rsid w:val="002B5854"/>
    <w:rsid w:val="002C7987"/>
    <w:rsid w:val="002D75C9"/>
    <w:rsid w:val="003056ED"/>
    <w:rsid w:val="00341D3D"/>
    <w:rsid w:val="00351A95"/>
    <w:rsid w:val="0035739F"/>
    <w:rsid w:val="003948DC"/>
    <w:rsid w:val="003979F4"/>
    <w:rsid w:val="003A34A2"/>
    <w:rsid w:val="003C3F9A"/>
    <w:rsid w:val="004817BE"/>
    <w:rsid w:val="00482867"/>
    <w:rsid w:val="004A3DAA"/>
    <w:rsid w:val="004C2AD4"/>
    <w:rsid w:val="004D46AB"/>
    <w:rsid w:val="00527707"/>
    <w:rsid w:val="00570844"/>
    <w:rsid w:val="00577C4D"/>
    <w:rsid w:val="00587D40"/>
    <w:rsid w:val="00595EEB"/>
    <w:rsid w:val="00597215"/>
    <w:rsid w:val="005B29A7"/>
    <w:rsid w:val="00601792"/>
    <w:rsid w:val="00633449"/>
    <w:rsid w:val="00640CC3"/>
    <w:rsid w:val="00663881"/>
    <w:rsid w:val="006807C5"/>
    <w:rsid w:val="006C3E01"/>
    <w:rsid w:val="006C6ED1"/>
    <w:rsid w:val="006D162A"/>
    <w:rsid w:val="006E3F8E"/>
    <w:rsid w:val="007200DC"/>
    <w:rsid w:val="00722340"/>
    <w:rsid w:val="00783F34"/>
    <w:rsid w:val="007A0463"/>
    <w:rsid w:val="007B287A"/>
    <w:rsid w:val="007D5C4A"/>
    <w:rsid w:val="007E77F9"/>
    <w:rsid w:val="00812F3B"/>
    <w:rsid w:val="00850136"/>
    <w:rsid w:val="00856B0F"/>
    <w:rsid w:val="00883B4C"/>
    <w:rsid w:val="00886EF0"/>
    <w:rsid w:val="00894C18"/>
    <w:rsid w:val="008A448A"/>
    <w:rsid w:val="008B0F71"/>
    <w:rsid w:val="008F1F12"/>
    <w:rsid w:val="0093666C"/>
    <w:rsid w:val="00936CA7"/>
    <w:rsid w:val="009548CE"/>
    <w:rsid w:val="009608CA"/>
    <w:rsid w:val="009C137A"/>
    <w:rsid w:val="009D1D17"/>
    <w:rsid w:val="00A013BA"/>
    <w:rsid w:val="00A2516E"/>
    <w:rsid w:val="00A40716"/>
    <w:rsid w:val="00A574E8"/>
    <w:rsid w:val="00A64E71"/>
    <w:rsid w:val="00A74C90"/>
    <w:rsid w:val="00AA762D"/>
    <w:rsid w:val="00AB323C"/>
    <w:rsid w:val="00AC6BEA"/>
    <w:rsid w:val="00B43F37"/>
    <w:rsid w:val="00B9140F"/>
    <w:rsid w:val="00BA0543"/>
    <w:rsid w:val="00BA4938"/>
    <w:rsid w:val="00BB1088"/>
    <w:rsid w:val="00BD5FBF"/>
    <w:rsid w:val="00C04435"/>
    <w:rsid w:val="00C37E2C"/>
    <w:rsid w:val="00C6007A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41E20"/>
    <w:rsid w:val="00D56D51"/>
    <w:rsid w:val="00D56E08"/>
    <w:rsid w:val="00D720B9"/>
    <w:rsid w:val="00D86E92"/>
    <w:rsid w:val="00D91480"/>
    <w:rsid w:val="00DA0322"/>
    <w:rsid w:val="00DC222E"/>
    <w:rsid w:val="00E13B1E"/>
    <w:rsid w:val="00E35221"/>
    <w:rsid w:val="00E37A82"/>
    <w:rsid w:val="00E416F9"/>
    <w:rsid w:val="00E51761"/>
    <w:rsid w:val="00E51E39"/>
    <w:rsid w:val="00E76E9F"/>
    <w:rsid w:val="00E87318"/>
    <w:rsid w:val="00E907DE"/>
    <w:rsid w:val="00EC6636"/>
    <w:rsid w:val="00EF14A1"/>
    <w:rsid w:val="00F46BA1"/>
    <w:rsid w:val="00F51161"/>
    <w:rsid w:val="00F56318"/>
    <w:rsid w:val="00FC191A"/>
    <w:rsid w:val="00FC2434"/>
    <w:rsid w:val="00FC5C96"/>
    <w:rsid w:val="00FD7026"/>
    <w:rsid w:val="00FE3660"/>
    <w:rsid w:val="03FD21CC"/>
    <w:rsid w:val="0CCCC31B"/>
    <w:rsid w:val="120728E9"/>
    <w:rsid w:val="15C19AE2"/>
    <w:rsid w:val="16AD8B07"/>
    <w:rsid w:val="1B260D80"/>
    <w:rsid w:val="1B7304D4"/>
    <w:rsid w:val="1DA9CF59"/>
    <w:rsid w:val="22F0BF40"/>
    <w:rsid w:val="263767C3"/>
    <w:rsid w:val="2BEB4726"/>
    <w:rsid w:val="2F9EFFAA"/>
    <w:rsid w:val="34E13D91"/>
    <w:rsid w:val="38228E6E"/>
    <w:rsid w:val="3C1D916D"/>
    <w:rsid w:val="3D32CE3D"/>
    <w:rsid w:val="3ECCFA99"/>
    <w:rsid w:val="498078D4"/>
    <w:rsid w:val="4C75C866"/>
    <w:rsid w:val="4EC71C1A"/>
    <w:rsid w:val="5597CAD5"/>
    <w:rsid w:val="5AC8014F"/>
    <w:rsid w:val="5E1356E8"/>
    <w:rsid w:val="61FC1668"/>
    <w:rsid w:val="624E461A"/>
    <w:rsid w:val="62E809FF"/>
    <w:rsid w:val="6CB06A87"/>
    <w:rsid w:val="7DE6A0E9"/>
    <w:rsid w:val="7F81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01C8A6CB2974CB081080CCAED34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6EDF3-70D1-4B87-B612-ED8198996980}"/>
      </w:docPartPr>
      <w:docPartBody>
        <w:p w:rsidR="000D6E17" w:rsidRDefault="00C04435">
          <w:pPr>
            <w:pStyle w:val="301C8A6CB2974CB081080CCAED342BF0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D6E17"/>
    <w:rsid w:val="00256C9F"/>
    <w:rsid w:val="00351A95"/>
    <w:rsid w:val="004817BE"/>
    <w:rsid w:val="004C2AD4"/>
    <w:rsid w:val="00570844"/>
    <w:rsid w:val="00595EEB"/>
    <w:rsid w:val="00601792"/>
    <w:rsid w:val="006807C5"/>
    <w:rsid w:val="00727B4D"/>
    <w:rsid w:val="00783F34"/>
    <w:rsid w:val="007D5C4A"/>
    <w:rsid w:val="00856B0F"/>
    <w:rsid w:val="00936CA7"/>
    <w:rsid w:val="009548CE"/>
    <w:rsid w:val="00961673"/>
    <w:rsid w:val="00B43F37"/>
    <w:rsid w:val="00B76E0F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  <w:style w:type="paragraph" w:customStyle="1" w:styleId="841DC04BF1A5457399E0A11B8F5186EA">
    <w:name w:val="841DC04BF1A5457399E0A11B8F5186EA"/>
    <w:pPr>
      <w:spacing w:line="278" w:lineRule="auto"/>
    </w:pPr>
    <w:rPr>
      <w:sz w:val="24"/>
      <w:szCs w:val="24"/>
    </w:rPr>
  </w:style>
  <w:style w:type="paragraph" w:customStyle="1" w:styleId="301C8A6CB2974CB081080CCAED342BF0">
    <w:name w:val="301C8A6CB2974CB081080CCAED342BF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f7d66-4310-439f-a5a5-6cb1980e4d8f">
      <Terms xmlns="http://schemas.microsoft.com/office/infopath/2007/PartnerControls"/>
    </lcf76f155ced4ddcb4097134ff3c332f>
    <TaxCatchAll xmlns="3e86994c-81c9-4678-ae1c-7da87f5d7e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262F94B747248A176502EBC832C9D" ma:contentTypeVersion="15" ma:contentTypeDescription="Create a new document." ma:contentTypeScope="" ma:versionID="0100f63815d5660063667ba253fe4c7f">
  <xsd:schema xmlns:xsd="http://www.w3.org/2001/XMLSchema" xmlns:xs="http://www.w3.org/2001/XMLSchema" xmlns:p="http://schemas.microsoft.com/office/2006/metadata/properties" xmlns:ns2="5baf7d66-4310-439f-a5a5-6cb1980e4d8f" xmlns:ns3="3e86994c-81c9-4678-ae1c-7da87f5d7e87" targetNamespace="http://schemas.microsoft.com/office/2006/metadata/properties" ma:root="true" ma:fieldsID="f37d7b8308aa7b69e269d349af540104" ns2:_="" ns3:_="">
    <xsd:import namespace="5baf7d66-4310-439f-a5a5-6cb1980e4d8f"/>
    <xsd:import namespace="3e86994c-81c9-4678-ae1c-7da87f5d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f7d66-4310-439f-a5a5-6cb1980e4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994c-81c9-4678-ae1c-7da87f5d7e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bb82a-c582-4022-994c-027799495502}" ma:internalName="TaxCatchAll" ma:showField="CatchAllData" ma:web="3e86994c-81c9-4678-ae1c-7da87f5d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5baf7d66-4310-439f-a5a5-6cb1980e4d8f"/>
    <ds:schemaRef ds:uri="3e86994c-81c9-4678-ae1c-7da87f5d7e87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6C9E9-0630-4991-AA88-73980CC2E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f7d66-4310-439f-a5a5-6cb1980e4d8f"/>
    <ds:schemaRef ds:uri="3e86994c-81c9-4678-ae1c-7da87f5d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10761</Characters>
  <Application>Microsoft Office Word</Application>
  <DocSecurity>4</DocSecurity>
  <Lines>89</Lines>
  <Paragraphs>25</Paragraphs>
  <ScaleCrop>false</ScaleCrop>
  <Company>University of Southampton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2025-07-01T09:04:00Z</dcterms:created>
  <dcterms:modified xsi:type="dcterms:W3CDTF">2025-07-01T09:04:00Z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0x0101008E0262F94B747248A176502EBC832C9D</vt:lpwstr>
  </property>
  <property fmtid="{D5CDD505-2E9C-101B-9397-08002B2CF9AE}" pid="3" name="MediaServiceImageTags">
    <vt:lpwstr/>
  </property>
</Properties>
</file>